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B00A" w14:textId="3F9EA6E4" w:rsidR="00423046" w:rsidRDefault="007312B4">
      <w:hyperlink r:id="rId4" w:history="1">
        <w:r w:rsidR="00D4170A" w:rsidRPr="003D4171">
          <w:rPr>
            <w:rStyle w:val="Hyperlink"/>
          </w:rPr>
          <w:t>https://www.okcareertech.org/about/state-agency/divisions/work-based-learning/work-based-learning</w:t>
        </w:r>
      </w:hyperlink>
      <w:r w:rsidR="00D4170A">
        <w:t xml:space="preserve"> </w:t>
      </w:r>
    </w:p>
    <w:p w14:paraId="4475525E" w14:textId="63E5BC4F" w:rsidR="00D4170A" w:rsidRDefault="00D4170A"/>
    <w:p w14:paraId="7F760C92" w14:textId="4608CBF2" w:rsidR="00D4170A" w:rsidRDefault="00D4170A">
      <w:r w:rsidRPr="00D4170A">
        <w:rPr>
          <w:noProof/>
        </w:rPr>
        <w:drawing>
          <wp:inline distT="0" distB="0" distL="0" distR="0" wp14:anchorId="514BC90B" wp14:editId="2DAC4CBD">
            <wp:extent cx="5943600" cy="4432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4E239" w14:textId="2AA62C92" w:rsidR="00D4170A" w:rsidRDefault="007312B4">
      <w:hyperlink r:id="rId6" w:history="1">
        <w:r w:rsidR="00D4170A" w:rsidRPr="003D4171">
          <w:rPr>
            <w:rStyle w:val="Hyperlink"/>
          </w:rPr>
          <w:t>https://www.okcareertech.org/about/state-agency/divisions/work-based-learning/work-based-learning</w:t>
        </w:r>
      </w:hyperlink>
      <w:r w:rsidR="00D4170A">
        <w:t xml:space="preserve"> </w:t>
      </w:r>
    </w:p>
    <w:sectPr w:rsidR="00D4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0A"/>
    <w:rsid w:val="00423046"/>
    <w:rsid w:val="007312B4"/>
    <w:rsid w:val="00D4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ABA1"/>
  <w15:chartTrackingRefBased/>
  <w15:docId w15:val="{07423EF7-F899-470D-BECE-E296694A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careertech.org/about/state-agency/divisions/work-based-learning/work-based-learni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okcareertech.org/about/state-agency/divisions/work-based-learning/work-based-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2023-11-28T15:33:00Z</dcterms:created>
  <dcterms:modified xsi:type="dcterms:W3CDTF">2023-11-28T15:33:00Z</dcterms:modified>
</cp:coreProperties>
</file>