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E2" w:rsidRPr="00285FE2" w:rsidRDefault="00285FE2" w:rsidP="00285F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85FE2">
        <w:rPr>
          <w:b/>
          <w:sz w:val="32"/>
          <w:szCs w:val="32"/>
        </w:rPr>
        <w:t>Career/Technical Lab Space Checklist</w:t>
      </w:r>
    </w:p>
    <w:p w:rsidR="00285FE2" w:rsidRDefault="00285FE2" w:rsidP="00285FE2">
      <w:pPr>
        <w:jc w:val="center"/>
      </w:pPr>
    </w:p>
    <w:tbl>
      <w:tblPr>
        <w:tblStyle w:val="CTEPG"/>
        <w:tblW w:w="5000" w:type="pct"/>
        <w:tblLayout w:type="fixed"/>
        <w:tblLook w:val="0620" w:firstRow="1" w:lastRow="0" w:firstColumn="0" w:lastColumn="0" w:noHBand="1" w:noVBand="1"/>
      </w:tblPr>
      <w:tblGrid>
        <w:gridCol w:w="6233"/>
        <w:gridCol w:w="643"/>
        <w:gridCol w:w="701"/>
        <w:gridCol w:w="789"/>
        <w:gridCol w:w="984"/>
      </w:tblGrid>
      <w:tr w:rsidR="00767D40" w:rsidRPr="00D52F68" w:rsidTr="007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333" w:type="pct"/>
          </w:tcPr>
          <w:p w:rsidR="00285FE2" w:rsidRPr="00CD5A9B" w:rsidRDefault="00285FE2" w:rsidP="006D795F">
            <w:pPr>
              <w:rPr>
                <w:b/>
                <w:sz w:val="22"/>
              </w:rPr>
            </w:pPr>
            <w:r w:rsidRPr="00CD5A9B">
              <w:rPr>
                <w:b/>
                <w:sz w:val="22"/>
              </w:rPr>
              <w:t>Criteria</w:t>
            </w:r>
          </w:p>
        </w:tc>
        <w:tc>
          <w:tcPr>
            <w:tcW w:w="344" w:type="pct"/>
          </w:tcPr>
          <w:p w:rsidR="00285FE2" w:rsidRPr="00D52F68" w:rsidRDefault="00285FE2" w:rsidP="006D795F">
            <w:pPr>
              <w:rPr>
                <w:b/>
                <w:sz w:val="16"/>
                <w:szCs w:val="16"/>
              </w:rPr>
            </w:pPr>
            <w:r w:rsidRPr="00D52F68">
              <w:rPr>
                <w:b/>
                <w:sz w:val="16"/>
                <w:szCs w:val="16"/>
              </w:rPr>
              <w:t>N/A</w:t>
            </w:r>
          </w:p>
        </w:tc>
        <w:tc>
          <w:tcPr>
            <w:tcW w:w="375" w:type="pct"/>
          </w:tcPr>
          <w:p w:rsidR="00285FE2" w:rsidRPr="00D52F68" w:rsidRDefault="00285FE2" w:rsidP="006D795F">
            <w:pPr>
              <w:rPr>
                <w:b/>
                <w:sz w:val="16"/>
                <w:szCs w:val="16"/>
              </w:rPr>
            </w:pPr>
            <w:r w:rsidRPr="00D52F68">
              <w:rPr>
                <w:b/>
                <w:sz w:val="16"/>
                <w:szCs w:val="16"/>
              </w:rPr>
              <w:t>Not Met</w:t>
            </w:r>
          </w:p>
        </w:tc>
        <w:tc>
          <w:tcPr>
            <w:tcW w:w="422" w:type="pct"/>
          </w:tcPr>
          <w:p w:rsidR="00285FE2" w:rsidRPr="00D52F68" w:rsidRDefault="00285FE2" w:rsidP="006D795F">
            <w:pPr>
              <w:rPr>
                <w:b/>
                <w:sz w:val="16"/>
                <w:szCs w:val="16"/>
              </w:rPr>
            </w:pPr>
            <w:r w:rsidRPr="00D52F68">
              <w:rPr>
                <w:b/>
                <w:sz w:val="16"/>
                <w:szCs w:val="16"/>
              </w:rPr>
              <w:t>Partially Met</w:t>
            </w:r>
          </w:p>
        </w:tc>
        <w:tc>
          <w:tcPr>
            <w:tcW w:w="526" w:type="pct"/>
          </w:tcPr>
          <w:p w:rsidR="00285FE2" w:rsidRPr="00D52F68" w:rsidRDefault="00285FE2" w:rsidP="006D795F">
            <w:pPr>
              <w:rPr>
                <w:b/>
                <w:sz w:val="16"/>
                <w:szCs w:val="16"/>
              </w:rPr>
            </w:pPr>
            <w:r w:rsidRPr="00D52F68">
              <w:rPr>
                <w:b/>
                <w:sz w:val="16"/>
                <w:szCs w:val="16"/>
              </w:rPr>
              <w:t>Completely Met</w:t>
            </w: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Each student</w:t>
            </w:r>
            <w:r>
              <w:rPr>
                <w:sz w:val="22"/>
              </w:rPr>
              <w:t>’s</w:t>
            </w:r>
            <w:r w:rsidRPr="00CD5A9B">
              <w:rPr>
                <w:sz w:val="22"/>
              </w:rPr>
              <w:t xml:space="preserve"> work area: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Is of</w:t>
            </w:r>
            <w:r w:rsidRPr="00CD5A9B">
              <w:rPr>
                <w:sz w:val="22"/>
              </w:rPr>
              <w:t xml:space="preserve"> adequate size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Is appropriate</w:t>
            </w:r>
            <w:r w:rsidRPr="00CD5A9B">
              <w:rPr>
                <w:sz w:val="22"/>
              </w:rPr>
              <w:t xml:space="preserve"> to the laboratory activities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Is equipped</w:t>
            </w:r>
            <w:r w:rsidRPr="00CD5A9B">
              <w:rPr>
                <w:sz w:val="22"/>
              </w:rPr>
              <w:t xml:space="preserve"> with needed tools or instruments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 xml:space="preserve">Each student’s </w:t>
            </w:r>
            <w:r w:rsidRPr="00CD5A9B">
              <w:rPr>
                <w:sz w:val="22"/>
              </w:rPr>
              <w:t>storage space: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Provides for</w:t>
            </w:r>
            <w:r w:rsidRPr="00CD5A9B">
              <w:rPr>
                <w:sz w:val="22"/>
              </w:rPr>
              <w:t xml:space="preserve"> personal effects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Accommodates student</w:t>
            </w:r>
            <w:r w:rsidRPr="00CD5A9B">
              <w:rPr>
                <w:sz w:val="22"/>
              </w:rPr>
              <w:t xml:space="preserve"> projects and unfinished work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rPr>
          <w:trHeight w:val="320"/>
        </w:trPr>
        <w:tc>
          <w:tcPr>
            <w:tcW w:w="3333" w:type="pct"/>
          </w:tcPr>
          <w:p w:rsidR="00285FE2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The laboratory floor space: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rPr>
          <w:trHeight w:val="320"/>
        </w:trPr>
        <w:tc>
          <w:tcPr>
            <w:tcW w:w="3333" w:type="pct"/>
          </w:tcPr>
          <w:p w:rsidR="00285FE2" w:rsidRPr="008B3EC4" w:rsidRDefault="00285FE2" w:rsidP="00285FE2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  <w:r w:rsidRPr="008B3EC4">
              <w:rPr>
                <w:sz w:val="22"/>
              </w:rPr>
              <w:t>Allows for a variety of learning activities.</w:t>
            </w:r>
          </w:p>
        </w:tc>
        <w:tc>
          <w:tcPr>
            <w:tcW w:w="344" w:type="pct"/>
          </w:tcPr>
          <w:p w:rsidR="00285FE2" w:rsidRPr="008B3EC4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8B3EC4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8B3EC4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8B3EC4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Storage for laboratory equipment and supplies: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Is adequate in size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 xml:space="preserve">Is suitable for </w:t>
            </w:r>
            <w:r>
              <w:rPr>
                <w:sz w:val="22"/>
              </w:rPr>
              <w:t>stored</w:t>
            </w:r>
            <w:r w:rsidRPr="00CD5A9B">
              <w:rPr>
                <w:sz w:val="22"/>
              </w:rPr>
              <w:t xml:space="preserve"> materials 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Meets safety standards for hazardous materials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Storage for customer work: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Is adequate in size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Provides needed security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The arrangement of the major pieces of equipment in the laboratory: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6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Allows for sufficient working area around each piece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6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Permits quick and easy access by the teacher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6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Permits the teacher to monitor student laboratory activities at all times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6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Provides traffic lanes for people and materials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The working environment for the laboratory: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 xml:space="preserve">Provides adequate general ventilation 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 xml:space="preserve">Provides special ventilation for </w:t>
            </w:r>
            <w:r>
              <w:rPr>
                <w:sz w:val="22"/>
              </w:rPr>
              <w:t>issues</w:t>
            </w:r>
            <w:r w:rsidRPr="00CD5A9B">
              <w:rPr>
                <w:sz w:val="22"/>
              </w:rPr>
              <w:t xml:space="preserve"> of smoke, noxious fumes, etc.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7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Maintains a healthful temperature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keepNext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The illumination in the laboratory: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keepNext/>
              <w:numPr>
                <w:ilvl w:val="0"/>
                <w:numId w:val="8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Is adequate for general work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keepNext/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8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Provides recommended lighting for special tasks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Sound control: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Is maintained at safe levels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 w:rsidRPr="00CD5A9B">
              <w:rPr>
                <w:sz w:val="22"/>
              </w:rPr>
              <w:t>Permits instruction without difficulty or interference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Areas</w:t>
            </w:r>
            <w:r w:rsidRPr="00CD5A9B">
              <w:rPr>
                <w:sz w:val="22"/>
              </w:rPr>
              <w:t xml:space="preserve"> within the laboratory: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Allow for individual</w:t>
            </w:r>
            <w:r w:rsidRPr="00CD5A9B">
              <w:rPr>
                <w:sz w:val="22"/>
              </w:rPr>
              <w:t xml:space="preserve"> study or instruction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Accommodate small</w:t>
            </w:r>
            <w:r w:rsidRPr="00CD5A9B">
              <w:rPr>
                <w:sz w:val="22"/>
              </w:rPr>
              <w:t>-group instruction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Are adequate for class</w:t>
            </w:r>
            <w:r w:rsidRPr="00CD5A9B">
              <w:rPr>
                <w:sz w:val="22"/>
              </w:rPr>
              <w:t xml:space="preserve"> instruction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Customers can easily access an attractive and suitable waiting area.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t>Appropriate occupational conditions and standards are simulated as closely as possible</w:t>
            </w:r>
            <w:r>
              <w:rPr>
                <w:sz w:val="22"/>
              </w:rPr>
              <w:t>.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CD5A9B">
              <w:rPr>
                <w:sz w:val="22"/>
              </w:rPr>
              <w:lastRenderedPageBreak/>
              <w:t>Appropriate instructional technology facilities: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Provide for</w:t>
            </w:r>
            <w:r w:rsidRPr="00CD5A9B">
              <w:rPr>
                <w:sz w:val="22"/>
              </w:rPr>
              <w:t xml:space="preserve"> individual students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720"/>
              <w:rPr>
                <w:sz w:val="22"/>
              </w:rPr>
            </w:pPr>
            <w:r>
              <w:rPr>
                <w:sz w:val="22"/>
              </w:rPr>
              <w:t>Accommodate</w:t>
            </w:r>
            <w:r w:rsidRPr="00CD5A9B">
              <w:rPr>
                <w:sz w:val="22"/>
              </w:rPr>
              <w:t xml:space="preserve"> the total class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 xml:space="preserve">The laboratory includes a convenient teacher’s station. 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CD5A9B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The laboratory provides areas for bulletin boards and exhibits.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250912" w:rsidRDefault="00285FE2" w:rsidP="00285FE2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360"/>
              <w:rPr>
                <w:sz w:val="22"/>
              </w:rPr>
            </w:pPr>
            <w:r w:rsidRPr="00250912">
              <w:rPr>
                <w:sz w:val="22"/>
              </w:rPr>
              <w:t xml:space="preserve">Other </w:t>
            </w:r>
            <w:r>
              <w:rPr>
                <w:sz w:val="22"/>
              </w:rPr>
              <w:t>c</w:t>
            </w:r>
            <w:r w:rsidRPr="00250912">
              <w:rPr>
                <w:sz w:val="22"/>
              </w:rPr>
              <w:t xml:space="preserve">riteria </w:t>
            </w:r>
            <w:r>
              <w:rPr>
                <w:sz w:val="22"/>
              </w:rPr>
              <w:t>s</w:t>
            </w:r>
            <w:r w:rsidRPr="00250912">
              <w:rPr>
                <w:sz w:val="22"/>
              </w:rPr>
              <w:t xml:space="preserve">pecific to </w:t>
            </w:r>
            <w:r>
              <w:rPr>
                <w:sz w:val="22"/>
              </w:rPr>
              <w:t>m</w:t>
            </w:r>
            <w:r w:rsidRPr="00250912">
              <w:rPr>
                <w:sz w:val="22"/>
              </w:rPr>
              <w:t xml:space="preserve">y CTE </w:t>
            </w:r>
            <w:r>
              <w:rPr>
                <w:sz w:val="22"/>
              </w:rPr>
              <w:t>a</w:t>
            </w:r>
            <w:r w:rsidRPr="00250912">
              <w:rPr>
                <w:sz w:val="22"/>
              </w:rPr>
              <w:t>rea:</w:t>
            </w: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250912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ind w:left="90"/>
              <w:rPr>
                <w:sz w:val="22"/>
              </w:rPr>
            </w:pP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250912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250912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  <w:tr w:rsidR="00767D40" w:rsidTr="00767D40">
        <w:tc>
          <w:tcPr>
            <w:tcW w:w="3333" w:type="pct"/>
          </w:tcPr>
          <w:p w:rsidR="00285FE2" w:rsidRPr="00250912" w:rsidRDefault="00285FE2" w:rsidP="006D795F">
            <w:pPr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rPr>
                <w:sz w:val="22"/>
              </w:rPr>
            </w:pPr>
          </w:p>
        </w:tc>
        <w:tc>
          <w:tcPr>
            <w:tcW w:w="344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375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422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  <w:tc>
          <w:tcPr>
            <w:tcW w:w="526" w:type="pct"/>
          </w:tcPr>
          <w:p w:rsidR="00285FE2" w:rsidRPr="00CD5A9B" w:rsidRDefault="00285FE2" w:rsidP="006D795F">
            <w:pPr>
              <w:rPr>
                <w:sz w:val="22"/>
              </w:rPr>
            </w:pPr>
          </w:p>
        </w:tc>
      </w:tr>
    </w:tbl>
    <w:p w:rsidR="00DA2E6B" w:rsidRPr="00DA2E6B" w:rsidRDefault="00767D40">
      <w:pPr>
        <w:rPr>
          <w:sz w:val="16"/>
          <w:szCs w:val="16"/>
        </w:rPr>
      </w:pPr>
      <w:r w:rsidRPr="00DA2E6B">
        <w:rPr>
          <w:sz w:val="16"/>
          <w:szCs w:val="16"/>
        </w:rPr>
        <w:t>Organize the Vocational Laboratory. Second Edition. Module E-8 of Category E--Instructional Management. Professional Teacher Education Module Series.</w:t>
      </w:r>
      <w:r w:rsidR="00DA2E6B">
        <w:rPr>
          <w:sz w:val="16"/>
          <w:szCs w:val="16"/>
        </w:rPr>
        <w:t xml:space="preserve">     </w:t>
      </w:r>
      <w:hyperlink r:id="rId5" w:history="1">
        <w:r w:rsidR="00DA2E6B" w:rsidRPr="00295652">
          <w:rPr>
            <w:rStyle w:val="Hyperlink"/>
          </w:rPr>
          <w:t>http://eric.ed.gov/?id=ED222751</w:t>
        </w:r>
      </w:hyperlink>
    </w:p>
    <w:p w:rsidR="00DA2E6B" w:rsidRDefault="00DA2E6B"/>
    <w:sectPr w:rsidR="00DA2E6B" w:rsidSect="00C7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385"/>
    <w:multiLevelType w:val="hybridMultilevel"/>
    <w:tmpl w:val="E1B680C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C221A76"/>
    <w:multiLevelType w:val="hybridMultilevel"/>
    <w:tmpl w:val="AE547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C6319"/>
    <w:multiLevelType w:val="hybridMultilevel"/>
    <w:tmpl w:val="0AA012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51EB1"/>
    <w:multiLevelType w:val="hybridMultilevel"/>
    <w:tmpl w:val="5FC8D2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84266"/>
    <w:multiLevelType w:val="hybridMultilevel"/>
    <w:tmpl w:val="402E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41B3"/>
    <w:multiLevelType w:val="hybridMultilevel"/>
    <w:tmpl w:val="81B0E4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B60B5"/>
    <w:multiLevelType w:val="hybridMultilevel"/>
    <w:tmpl w:val="7E5623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C16E3"/>
    <w:multiLevelType w:val="hybridMultilevel"/>
    <w:tmpl w:val="92CE95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80CCC"/>
    <w:multiLevelType w:val="hybridMultilevel"/>
    <w:tmpl w:val="4878AD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747BD"/>
    <w:multiLevelType w:val="hybridMultilevel"/>
    <w:tmpl w:val="E3EA20C0"/>
    <w:lvl w:ilvl="0" w:tplc="30744732">
      <w:start w:val="1"/>
      <w:numFmt w:val="lowerLetter"/>
      <w:lvlText w:val="%1."/>
      <w:lvlJc w:val="left"/>
      <w:pPr>
        <w:ind w:left="1080" w:hanging="360"/>
      </w:pPr>
    </w:lvl>
    <w:lvl w:ilvl="1" w:tplc="A7528C0C" w:tentative="1">
      <w:start w:val="1"/>
      <w:numFmt w:val="lowerLetter"/>
      <w:lvlText w:val="%2."/>
      <w:lvlJc w:val="left"/>
      <w:pPr>
        <w:ind w:left="1800" w:hanging="360"/>
      </w:pPr>
    </w:lvl>
    <w:lvl w:ilvl="2" w:tplc="2B1E9044" w:tentative="1">
      <w:start w:val="1"/>
      <w:numFmt w:val="lowerRoman"/>
      <w:lvlText w:val="%3."/>
      <w:lvlJc w:val="right"/>
      <w:pPr>
        <w:ind w:left="2520" w:hanging="180"/>
      </w:pPr>
    </w:lvl>
    <w:lvl w:ilvl="3" w:tplc="19DA0440" w:tentative="1">
      <w:start w:val="1"/>
      <w:numFmt w:val="decimal"/>
      <w:lvlText w:val="%4."/>
      <w:lvlJc w:val="left"/>
      <w:pPr>
        <w:ind w:left="3240" w:hanging="360"/>
      </w:pPr>
    </w:lvl>
    <w:lvl w:ilvl="4" w:tplc="5E86CD22" w:tentative="1">
      <w:start w:val="1"/>
      <w:numFmt w:val="lowerLetter"/>
      <w:lvlText w:val="%5."/>
      <w:lvlJc w:val="left"/>
      <w:pPr>
        <w:ind w:left="3960" w:hanging="360"/>
      </w:pPr>
    </w:lvl>
    <w:lvl w:ilvl="5" w:tplc="477A6C7C" w:tentative="1">
      <w:start w:val="1"/>
      <w:numFmt w:val="lowerRoman"/>
      <w:lvlText w:val="%6."/>
      <w:lvlJc w:val="right"/>
      <w:pPr>
        <w:ind w:left="4680" w:hanging="180"/>
      </w:pPr>
    </w:lvl>
    <w:lvl w:ilvl="6" w:tplc="6BF038AC" w:tentative="1">
      <w:start w:val="1"/>
      <w:numFmt w:val="decimal"/>
      <w:lvlText w:val="%7."/>
      <w:lvlJc w:val="left"/>
      <w:pPr>
        <w:ind w:left="5400" w:hanging="360"/>
      </w:pPr>
    </w:lvl>
    <w:lvl w:ilvl="7" w:tplc="884680D8" w:tentative="1">
      <w:start w:val="1"/>
      <w:numFmt w:val="lowerLetter"/>
      <w:lvlText w:val="%8."/>
      <w:lvlJc w:val="left"/>
      <w:pPr>
        <w:ind w:left="6120" w:hanging="360"/>
      </w:pPr>
    </w:lvl>
    <w:lvl w:ilvl="8" w:tplc="631A6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D45B1E"/>
    <w:multiLevelType w:val="hybridMultilevel"/>
    <w:tmpl w:val="C3AC3510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9006E"/>
    <w:multiLevelType w:val="hybridMultilevel"/>
    <w:tmpl w:val="58344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E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6E12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A6D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04A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977DC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7CB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1E19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4BF8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3D6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5307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6E2B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B98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5FE2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1AA1"/>
    <w:rsid w:val="002C22BB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82A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D26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1FC2"/>
    <w:rsid w:val="0031231B"/>
    <w:rsid w:val="00312376"/>
    <w:rsid w:val="00312CAD"/>
    <w:rsid w:val="003135FE"/>
    <w:rsid w:val="00313824"/>
    <w:rsid w:val="00313E7C"/>
    <w:rsid w:val="0031431F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0530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B48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190C"/>
    <w:rsid w:val="003F44C2"/>
    <w:rsid w:val="003F5727"/>
    <w:rsid w:val="003F6B58"/>
    <w:rsid w:val="003F71A3"/>
    <w:rsid w:val="003F7687"/>
    <w:rsid w:val="003F77F2"/>
    <w:rsid w:val="003F7917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02"/>
    <w:rsid w:val="00405049"/>
    <w:rsid w:val="00406AC7"/>
    <w:rsid w:val="00407420"/>
    <w:rsid w:val="00407649"/>
    <w:rsid w:val="00411AD0"/>
    <w:rsid w:val="004123FD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06D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9A9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455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773DC"/>
    <w:rsid w:val="00480482"/>
    <w:rsid w:val="00480DF8"/>
    <w:rsid w:val="00480E2B"/>
    <w:rsid w:val="00481B48"/>
    <w:rsid w:val="00481CEC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6D48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29D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50D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2F2D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491B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00A"/>
    <w:rsid w:val="005662E5"/>
    <w:rsid w:val="005676B9"/>
    <w:rsid w:val="0057012B"/>
    <w:rsid w:val="00572CD7"/>
    <w:rsid w:val="00575326"/>
    <w:rsid w:val="00575E00"/>
    <w:rsid w:val="00575F6A"/>
    <w:rsid w:val="0057601A"/>
    <w:rsid w:val="00577417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5BFC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5BB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5C09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4F4E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3A2B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2EF"/>
    <w:rsid w:val="006C37D9"/>
    <w:rsid w:val="006C5941"/>
    <w:rsid w:val="006C7D2D"/>
    <w:rsid w:val="006D06BE"/>
    <w:rsid w:val="006D0A80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45DF"/>
    <w:rsid w:val="006F6528"/>
    <w:rsid w:val="006F6999"/>
    <w:rsid w:val="006F7E3B"/>
    <w:rsid w:val="007039D6"/>
    <w:rsid w:val="00703C1C"/>
    <w:rsid w:val="00703F37"/>
    <w:rsid w:val="0070485F"/>
    <w:rsid w:val="0070673E"/>
    <w:rsid w:val="007071CF"/>
    <w:rsid w:val="0071017A"/>
    <w:rsid w:val="007109C2"/>
    <w:rsid w:val="00712066"/>
    <w:rsid w:val="007138D7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67D40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874FD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467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3FC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421"/>
    <w:rsid w:val="007E4C0C"/>
    <w:rsid w:val="007E587E"/>
    <w:rsid w:val="007E5F0F"/>
    <w:rsid w:val="007E64B7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0F8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2124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1CE6"/>
    <w:rsid w:val="008527BB"/>
    <w:rsid w:val="008538B4"/>
    <w:rsid w:val="008550F1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167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2236"/>
    <w:rsid w:val="008D33BA"/>
    <w:rsid w:val="008D3E12"/>
    <w:rsid w:val="008D5001"/>
    <w:rsid w:val="008D506D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1F7C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ABC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1B13"/>
    <w:rsid w:val="0094226B"/>
    <w:rsid w:val="00942289"/>
    <w:rsid w:val="00942AD6"/>
    <w:rsid w:val="00944453"/>
    <w:rsid w:val="00944A15"/>
    <w:rsid w:val="00944F1F"/>
    <w:rsid w:val="00946790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0D2"/>
    <w:rsid w:val="00964BB0"/>
    <w:rsid w:val="00964BD3"/>
    <w:rsid w:val="0096531A"/>
    <w:rsid w:val="00966B54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A06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4BC8"/>
    <w:rsid w:val="009F5310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EE1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446D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6630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449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048"/>
    <w:rsid w:val="00AE4E48"/>
    <w:rsid w:val="00AE593E"/>
    <w:rsid w:val="00AE59A9"/>
    <w:rsid w:val="00AE5E22"/>
    <w:rsid w:val="00AE792F"/>
    <w:rsid w:val="00AF1821"/>
    <w:rsid w:val="00AF1CD6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59D9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46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67B3A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6F23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4F09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4805"/>
    <w:rsid w:val="00BC5879"/>
    <w:rsid w:val="00BC5FB9"/>
    <w:rsid w:val="00BC60FA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1563"/>
    <w:rsid w:val="00BE21FE"/>
    <w:rsid w:val="00BE30E1"/>
    <w:rsid w:val="00BE351A"/>
    <w:rsid w:val="00BE4A4B"/>
    <w:rsid w:val="00BE4EF4"/>
    <w:rsid w:val="00BE6F02"/>
    <w:rsid w:val="00BE7E85"/>
    <w:rsid w:val="00BF0FD7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41F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40A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77C64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1FE2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927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5FC2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508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2E6B"/>
    <w:rsid w:val="00DA3230"/>
    <w:rsid w:val="00DA326E"/>
    <w:rsid w:val="00DA37E2"/>
    <w:rsid w:val="00DA3ADC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2F66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1F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51DC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38C9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78D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153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584A"/>
    <w:rsid w:val="00EC5F92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695A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5925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5A05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7AEAC-3BA9-4171-AAEF-0D3403C0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FE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FE2"/>
    <w:pPr>
      <w:ind w:left="720"/>
      <w:contextualSpacing/>
    </w:pPr>
  </w:style>
  <w:style w:type="table" w:customStyle="1" w:styleId="CTEPG">
    <w:name w:val="CTE_PG"/>
    <w:basedOn w:val="TableNormal"/>
    <w:uiPriority w:val="61"/>
    <w:rsid w:val="00285FE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A2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ic.ed.gov/?id=ED2227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dcterms:created xsi:type="dcterms:W3CDTF">2017-03-29T18:46:00Z</dcterms:created>
  <dcterms:modified xsi:type="dcterms:W3CDTF">2017-03-29T18:46:00Z</dcterms:modified>
</cp:coreProperties>
</file>