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2639" w14:textId="746E5239" w:rsidR="002060FC" w:rsidRDefault="00295FC5" w:rsidP="002060F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ECACE83" wp14:editId="47554CE4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9263A" w14:textId="77777777" w:rsidR="002060FC" w:rsidRDefault="00AA2130" w:rsidP="002060FC">
      <w:pPr>
        <w:rPr>
          <w:sz w:val="28"/>
          <w:szCs w:val="28"/>
        </w:rPr>
      </w:pPr>
      <w:r>
        <w:rPr>
          <w:sz w:val="28"/>
          <w:szCs w:val="28"/>
        </w:rPr>
        <w:t>While lessons may extend over one or more day</w:t>
      </w:r>
      <w:r w:rsidR="00A742DB">
        <w:rPr>
          <w:sz w:val="28"/>
          <w:szCs w:val="28"/>
        </w:rPr>
        <w:t>s</w:t>
      </w:r>
      <w:r>
        <w:rPr>
          <w:sz w:val="28"/>
          <w:szCs w:val="28"/>
        </w:rPr>
        <w:t xml:space="preserve"> at some</w:t>
      </w:r>
      <w:r w:rsidR="00EC2376">
        <w:rPr>
          <w:sz w:val="28"/>
          <w:szCs w:val="28"/>
        </w:rPr>
        <w:t xml:space="preserve"> </w:t>
      </w:r>
      <w:r w:rsidR="00C94EF0">
        <w:rPr>
          <w:sz w:val="28"/>
          <w:szCs w:val="28"/>
        </w:rPr>
        <w:t>point they must come to an end.  I</w:t>
      </w:r>
      <w:r w:rsidR="00EC2376">
        <w:rPr>
          <w:sz w:val="28"/>
          <w:szCs w:val="28"/>
        </w:rPr>
        <w:t xml:space="preserve">n most teaching cultures this is known as a </w:t>
      </w:r>
      <w:hyperlink r:id="rId7" w:history="1">
        <w:r w:rsidR="00EC2376" w:rsidRPr="00EC2376">
          <w:rPr>
            <w:rStyle w:val="Hyperlink"/>
            <w:sz w:val="28"/>
            <w:szCs w:val="28"/>
          </w:rPr>
          <w:t>closure</w:t>
        </w:r>
      </w:hyperlink>
      <w:r w:rsidR="00DF2849">
        <w:rPr>
          <w:sz w:val="28"/>
          <w:szCs w:val="28"/>
        </w:rPr>
        <w:t xml:space="preserve">.  Closure for a teacher </w:t>
      </w:r>
      <w:r w:rsidR="00C94EF0">
        <w:rPr>
          <w:sz w:val="28"/>
          <w:szCs w:val="28"/>
        </w:rPr>
        <w:t>can include the following actions</w:t>
      </w:r>
      <w:r w:rsidR="00DF2849">
        <w:rPr>
          <w:sz w:val="28"/>
          <w:szCs w:val="28"/>
        </w:rPr>
        <w:t>:</w:t>
      </w:r>
    </w:p>
    <w:p w14:paraId="6B39263B" w14:textId="77777777" w:rsidR="00DF2849" w:rsidRDefault="00DF2849" w:rsidP="00DF2849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Check for understanding and upcoming instruction.</w:t>
      </w:r>
    </w:p>
    <w:p w14:paraId="6B39263C" w14:textId="77777777" w:rsidR="00DF2849" w:rsidRDefault="00DF2849" w:rsidP="00DF2849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Emphasize key information.</w:t>
      </w:r>
    </w:p>
    <w:p w14:paraId="6B39263D" w14:textId="77777777" w:rsidR="00DF2849" w:rsidRDefault="00DF2849" w:rsidP="00DF2849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Tie up loose ends and bring it back to objectives.</w:t>
      </w:r>
    </w:p>
    <w:p w14:paraId="6B39263E" w14:textId="77777777" w:rsidR="00DF2849" w:rsidRDefault="00DF2849" w:rsidP="00DF2849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Correct misunderstandings.</w:t>
      </w:r>
    </w:p>
    <w:p w14:paraId="6B39263F" w14:textId="11838113" w:rsidR="003F1671" w:rsidRDefault="00EC137E" w:rsidP="00DF2849">
      <w:pPr>
        <w:rPr>
          <w:sz w:val="28"/>
          <w:szCs w:val="28"/>
        </w:rPr>
      </w:pPr>
      <w:r>
        <w:rPr>
          <w:sz w:val="28"/>
          <w:szCs w:val="28"/>
        </w:rPr>
        <w:t xml:space="preserve">Many teachers think checking for understanding must include some sort of formal assessment at the end of a lesson.  </w:t>
      </w:r>
      <w:r w:rsidR="00C94EF0">
        <w:rPr>
          <w:sz w:val="28"/>
          <w:szCs w:val="28"/>
        </w:rPr>
        <w:t>G</w:t>
      </w:r>
      <w:r>
        <w:rPr>
          <w:sz w:val="28"/>
          <w:szCs w:val="28"/>
        </w:rPr>
        <w:t>ood questioning and allowing students to take part in their own learning</w:t>
      </w:r>
      <w:r w:rsidR="00C94EF0">
        <w:rPr>
          <w:sz w:val="28"/>
          <w:szCs w:val="28"/>
        </w:rPr>
        <w:t>,</w:t>
      </w:r>
      <w:r>
        <w:rPr>
          <w:sz w:val="28"/>
          <w:szCs w:val="28"/>
        </w:rPr>
        <w:t xml:space="preserve"> such as in </w:t>
      </w:r>
      <w:r w:rsidR="00C94EF0">
        <w:rPr>
          <w:sz w:val="28"/>
          <w:szCs w:val="28"/>
        </w:rPr>
        <w:t xml:space="preserve">the </w:t>
      </w:r>
      <w:hyperlink r:id="rId8" w:history="1">
        <w:r w:rsidRPr="00EC137E">
          <w:rPr>
            <w:rStyle w:val="Hyperlink"/>
            <w:sz w:val="28"/>
            <w:szCs w:val="28"/>
          </w:rPr>
          <w:t>“Think Pair Share”</w:t>
        </w:r>
      </w:hyperlink>
      <w:r>
        <w:rPr>
          <w:sz w:val="28"/>
          <w:szCs w:val="28"/>
        </w:rPr>
        <w:t xml:space="preserve"> strategy, allows you to do informal evaluation and feedback throughout the lesson</w:t>
      </w:r>
      <w:r w:rsidR="00C94EF0">
        <w:rPr>
          <w:sz w:val="28"/>
          <w:szCs w:val="28"/>
        </w:rPr>
        <w:t>, however</w:t>
      </w:r>
      <w:r>
        <w:rPr>
          <w:sz w:val="28"/>
          <w:szCs w:val="28"/>
        </w:rPr>
        <w:t xml:space="preserve">.  </w:t>
      </w:r>
    </w:p>
    <w:p w14:paraId="6B392640" w14:textId="77777777" w:rsidR="00DF2849" w:rsidRDefault="00DF2849" w:rsidP="00DF2849">
      <w:pPr>
        <w:rPr>
          <w:sz w:val="28"/>
          <w:szCs w:val="28"/>
        </w:rPr>
      </w:pPr>
      <w:r>
        <w:rPr>
          <w:sz w:val="28"/>
          <w:szCs w:val="28"/>
        </w:rPr>
        <w:t>Students on the other hand find closure helpful for</w:t>
      </w:r>
      <w:r w:rsidR="00C94EF0">
        <w:rPr>
          <w:sz w:val="28"/>
          <w:szCs w:val="28"/>
        </w:rPr>
        <w:t xml:space="preserve"> taking the following actions</w:t>
      </w:r>
      <w:r>
        <w:rPr>
          <w:sz w:val="28"/>
          <w:szCs w:val="28"/>
        </w:rPr>
        <w:t>:</w:t>
      </w:r>
    </w:p>
    <w:p w14:paraId="6B392641" w14:textId="77777777" w:rsidR="00DF2849" w:rsidRDefault="00DF2849" w:rsidP="00DF2849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Demonstrating their understanding with summarization and review activities.</w:t>
      </w:r>
    </w:p>
    <w:p w14:paraId="6B392642" w14:textId="77777777" w:rsidR="00DF2849" w:rsidRDefault="009266E8" w:rsidP="00DF2849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Internalizing key information.</w:t>
      </w:r>
    </w:p>
    <w:p w14:paraId="6B392643" w14:textId="77777777" w:rsidR="009266E8" w:rsidRDefault="00C94EF0" w:rsidP="00DF2849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Connecting</w:t>
      </w:r>
      <w:r w:rsidR="009266E8">
        <w:rPr>
          <w:sz w:val="28"/>
          <w:szCs w:val="28"/>
        </w:rPr>
        <w:t xml:space="preserve"> the lesson to previously learned knowledge.</w:t>
      </w:r>
    </w:p>
    <w:p w14:paraId="6B392644" w14:textId="77777777" w:rsidR="009266E8" w:rsidRDefault="009266E8" w:rsidP="00DF2849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Realizing information in new and current situations.</w:t>
      </w:r>
    </w:p>
    <w:p w14:paraId="6B392645" w14:textId="77777777" w:rsidR="009266E8" w:rsidRDefault="00EC137E" w:rsidP="009266E8">
      <w:pPr>
        <w:rPr>
          <w:sz w:val="28"/>
          <w:szCs w:val="28"/>
        </w:rPr>
      </w:pPr>
      <w:r>
        <w:rPr>
          <w:sz w:val="28"/>
          <w:szCs w:val="28"/>
        </w:rPr>
        <w:t xml:space="preserve">Students want to make </w:t>
      </w:r>
      <w:r w:rsidR="00212AB8">
        <w:rPr>
          <w:sz w:val="28"/>
          <w:szCs w:val="28"/>
        </w:rPr>
        <w:t>every lesson real to themselves; some foundational concepts</w:t>
      </w:r>
      <w:r w:rsidR="00C94EF0">
        <w:rPr>
          <w:sz w:val="28"/>
          <w:szCs w:val="28"/>
        </w:rPr>
        <w:t>, however,</w:t>
      </w:r>
      <w:r w:rsidR="00212AB8">
        <w:rPr>
          <w:sz w:val="28"/>
          <w:szCs w:val="28"/>
        </w:rPr>
        <w:t xml:space="preserve"> are hard to </w:t>
      </w:r>
      <w:r w:rsidR="00C94EF0">
        <w:rPr>
          <w:sz w:val="28"/>
          <w:szCs w:val="28"/>
        </w:rPr>
        <w:t>connect</w:t>
      </w:r>
      <w:r w:rsidR="00212AB8">
        <w:rPr>
          <w:sz w:val="28"/>
          <w:szCs w:val="28"/>
        </w:rPr>
        <w:t xml:space="preserve"> </w:t>
      </w:r>
      <w:r w:rsidR="00A742DB">
        <w:rPr>
          <w:sz w:val="28"/>
          <w:szCs w:val="28"/>
        </w:rPr>
        <w:t>until</w:t>
      </w:r>
      <w:r w:rsidR="00212AB8">
        <w:rPr>
          <w:sz w:val="28"/>
          <w:szCs w:val="28"/>
        </w:rPr>
        <w:t xml:space="preserve"> additional lessons have been covered.  </w:t>
      </w:r>
      <w:r w:rsidR="00C94EF0">
        <w:rPr>
          <w:sz w:val="28"/>
          <w:szCs w:val="28"/>
        </w:rPr>
        <w:t>Sometimes</w:t>
      </w:r>
      <w:r w:rsidR="00212AB8">
        <w:rPr>
          <w:sz w:val="28"/>
          <w:szCs w:val="28"/>
        </w:rPr>
        <w:t xml:space="preserve"> the only closing you have is to introduce the next piece of the puzzle in a much bigger picture.</w:t>
      </w:r>
    </w:p>
    <w:p w14:paraId="6B392646" w14:textId="77777777" w:rsidR="00212AB8" w:rsidRDefault="00212AB8" w:rsidP="009266E8">
      <w:pPr>
        <w:rPr>
          <w:sz w:val="28"/>
          <w:szCs w:val="28"/>
        </w:rPr>
      </w:pPr>
      <w:r>
        <w:rPr>
          <w:sz w:val="28"/>
          <w:szCs w:val="28"/>
        </w:rPr>
        <w:t xml:space="preserve">There are many ways to </w:t>
      </w:r>
      <w:hyperlink r:id="rId9" w:history="1">
        <w:r w:rsidRPr="00212AB8">
          <w:rPr>
            <w:rStyle w:val="Hyperlink"/>
            <w:sz w:val="28"/>
            <w:szCs w:val="28"/>
          </w:rPr>
          <w:t>close</w:t>
        </w:r>
      </w:hyperlink>
      <w:r>
        <w:rPr>
          <w:sz w:val="28"/>
          <w:szCs w:val="28"/>
        </w:rPr>
        <w:t xml:space="preserve"> a lesson</w:t>
      </w:r>
      <w:r w:rsidR="00C94EF0">
        <w:rPr>
          <w:sz w:val="28"/>
          <w:szCs w:val="28"/>
        </w:rPr>
        <w:t>,</w:t>
      </w:r>
      <w:r>
        <w:rPr>
          <w:sz w:val="28"/>
          <w:szCs w:val="28"/>
        </w:rPr>
        <w:t xml:space="preserve"> and they all depend on what you need to know before you can proceed with future lessons or labs.  </w:t>
      </w:r>
      <w:r w:rsidR="00C94EF0">
        <w:rPr>
          <w:sz w:val="28"/>
          <w:szCs w:val="28"/>
        </w:rPr>
        <w:t>Do</w:t>
      </w:r>
      <w:r>
        <w:rPr>
          <w:sz w:val="28"/>
          <w:szCs w:val="28"/>
        </w:rPr>
        <w:t xml:space="preserve"> not beat yourself up if you run out of time and do not get </w:t>
      </w:r>
      <w:r w:rsidR="004C324C">
        <w:rPr>
          <w:sz w:val="28"/>
          <w:szCs w:val="28"/>
        </w:rPr>
        <w:t>to a closing</w:t>
      </w:r>
      <w:r w:rsidR="00C94EF0">
        <w:rPr>
          <w:sz w:val="28"/>
          <w:szCs w:val="28"/>
        </w:rPr>
        <w:t>, though</w:t>
      </w:r>
      <w:r w:rsidR="004C324C">
        <w:rPr>
          <w:sz w:val="28"/>
          <w:szCs w:val="28"/>
        </w:rPr>
        <w:t>.  You can either start with a review or combine closing with the next lesson.</w:t>
      </w:r>
    </w:p>
    <w:p w14:paraId="6B392647" w14:textId="20008749" w:rsidR="004C324C" w:rsidRDefault="004C324C" w:rsidP="009266E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am attaching a </w:t>
      </w:r>
      <w:hyperlink r:id="rId10" w:history="1">
        <w:r w:rsidRPr="004C324C">
          <w:rPr>
            <w:rStyle w:val="Hyperlink"/>
            <w:sz w:val="28"/>
            <w:szCs w:val="28"/>
          </w:rPr>
          <w:t>rubric</w:t>
        </w:r>
      </w:hyperlink>
      <w:r>
        <w:rPr>
          <w:sz w:val="28"/>
          <w:szCs w:val="28"/>
        </w:rPr>
        <w:t xml:space="preserve"> for self-evaluation of your lesson plans.  Do not be upset </w:t>
      </w:r>
      <w:r w:rsidR="00A742DB">
        <w:rPr>
          <w:sz w:val="28"/>
          <w:szCs w:val="28"/>
        </w:rPr>
        <w:t>i</w:t>
      </w:r>
      <w:r>
        <w:rPr>
          <w:sz w:val="28"/>
          <w:szCs w:val="28"/>
        </w:rPr>
        <w:t>f your lessons do not meet all the categories or you rank low in the assessment.  The rubric is only offered as a tool or a map to help your lesson</w:t>
      </w:r>
      <w:r w:rsidR="008B053A">
        <w:rPr>
          <w:sz w:val="28"/>
          <w:szCs w:val="28"/>
        </w:rPr>
        <w:t>s</w:t>
      </w:r>
      <w:r>
        <w:rPr>
          <w:sz w:val="28"/>
          <w:szCs w:val="28"/>
        </w:rPr>
        <w:t xml:space="preserve"> get better.</w:t>
      </w:r>
    </w:p>
    <w:sectPr w:rsidR="004C324C" w:rsidSect="002511F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3D8"/>
    <w:multiLevelType w:val="multilevel"/>
    <w:tmpl w:val="68A4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D7D0B"/>
    <w:multiLevelType w:val="hybridMultilevel"/>
    <w:tmpl w:val="C812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16B70"/>
    <w:multiLevelType w:val="multilevel"/>
    <w:tmpl w:val="FE1A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96E9D"/>
    <w:multiLevelType w:val="multilevel"/>
    <w:tmpl w:val="81E8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7141B"/>
    <w:multiLevelType w:val="multilevel"/>
    <w:tmpl w:val="F9EA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32248"/>
    <w:multiLevelType w:val="multilevel"/>
    <w:tmpl w:val="A88C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44A4B"/>
    <w:multiLevelType w:val="multilevel"/>
    <w:tmpl w:val="D056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97105"/>
    <w:multiLevelType w:val="multilevel"/>
    <w:tmpl w:val="211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E44A1"/>
    <w:multiLevelType w:val="multilevel"/>
    <w:tmpl w:val="4A2C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43631"/>
    <w:multiLevelType w:val="hybridMultilevel"/>
    <w:tmpl w:val="7C2A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328DE"/>
    <w:multiLevelType w:val="multilevel"/>
    <w:tmpl w:val="0C22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D79D0"/>
    <w:multiLevelType w:val="hybridMultilevel"/>
    <w:tmpl w:val="D258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F3E49"/>
    <w:multiLevelType w:val="multilevel"/>
    <w:tmpl w:val="9488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E16E5"/>
    <w:multiLevelType w:val="hybridMultilevel"/>
    <w:tmpl w:val="FE2A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A26E4"/>
    <w:multiLevelType w:val="multilevel"/>
    <w:tmpl w:val="612C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11475F"/>
    <w:multiLevelType w:val="multilevel"/>
    <w:tmpl w:val="AA6A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62540"/>
    <w:multiLevelType w:val="multilevel"/>
    <w:tmpl w:val="8398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25A02"/>
    <w:multiLevelType w:val="hybridMultilevel"/>
    <w:tmpl w:val="6F0A646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65DF7470"/>
    <w:multiLevelType w:val="multilevel"/>
    <w:tmpl w:val="67E2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9053B4"/>
    <w:multiLevelType w:val="multilevel"/>
    <w:tmpl w:val="C950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5F09D9"/>
    <w:multiLevelType w:val="multilevel"/>
    <w:tmpl w:val="0BD8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892810">
    <w:abstractNumId w:val="11"/>
  </w:num>
  <w:num w:numId="2" w16cid:durableId="2067339694">
    <w:abstractNumId w:val="15"/>
  </w:num>
  <w:num w:numId="3" w16cid:durableId="1694529640">
    <w:abstractNumId w:val="19"/>
  </w:num>
  <w:num w:numId="4" w16cid:durableId="1659726754">
    <w:abstractNumId w:val="2"/>
  </w:num>
  <w:num w:numId="5" w16cid:durableId="532959645">
    <w:abstractNumId w:val="18"/>
  </w:num>
  <w:num w:numId="6" w16cid:durableId="1333989476">
    <w:abstractNumId w:val="10"/>
  </w:num>
  <w:num w:numId="7" w16cid:durableId="337656805">
    <w:abstractNumId w:val="16"/>
  </w:num>
  <w:num w:numId="8" w16cid:durableId="362946161">
    <w:abstractNumId w:val="3"/>
  </w:num>
  <w:num w:numId="9" w16cid:durableId="108940711">
    <w:abstractNumId w:val="14"/>
  </w:num>
  <w:num w:numId="10" w16cid:durableId="1364329121">
    <w:abstractNumId w:val="6"/>
  </w:num>
  <w:num w:numId="11" w16cid:durableId="463667253">
    <w:abstractNumId w:val="5"/>
  </w:num>
  <w:num w:numId="12" w16cid:durableId="1757245632">
    <w:abstractNumId w:val="7"/>
  </w:num>
  <w:num w:numId="13" w16cid:durableId="1840388632">
    <w:abstractNumId w:val="12"/>
  </w:num>
  <w:num w:numId="14" w16cid:durableId="1949115691">
    <w:abstractNumId w:val="0"/>
  </w:num>
  <w:num w:numId="15" w16cid:durableId="365252285">
    <w:abstractNumId w:val="8"/>
  </w:num>
  <w:num w:numId="16" w16cid:durableId="458694689">
    <w:abstractNumId w:val="20"/>
  </w:num>
  <w:num w:numId="17" w16cid:durableId="1845313363">
    <w:abstractNumId w:val="4"/>
  </w:num>
  <w:num w:numId="18" w16cid:durableId="85852509">
    <w:abstractNumId w:val="13"/>
  </w:num>
  <w:num w:numId="19" w16cid:durableId="2083326870">
    <w:abstractNumId w:val="17"/>
  </w:num>
  <w:num w:numId="20" w16cid:durableId="489714942">
    <w:abstractNumId w:val="1"/>
  </w:num>
  <w:num w:numId="21" w16cid:durableId="616371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D"/>
    <w:rsid w:val="0000099B"/>
    <w:rsid w:val="00001B30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CD"/>
    <w:rsid w:val="00053AF3"/>
    <w:rsid w:val="0005419C"/>
    <w:rsid w:val="000548E6"/>
    <w:rsid w:val="000550D9"/>
    <w:rsid w:val="00055727"/>
    <w:rsid w:val="000557DA"/>
    <w:rsid w:val="000562DE"/>
    <w:rsid w:val="00056480"/>
    <w:rsid w:val="00056D0F"/>
    <w:rsid w:val="0005753D"/>
    <w:rsid w:val="000577FC"/>
    <w:rsid w:val="00057AFA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6347"/>
    <w:rsid w:val="00087173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864"/>
    <w:rsid w:val="000A4F95"/>
    <w:rsid w:val="000A6054"/>
    <w:rsid w:val="000A626B"/>
    <w:rsid w:val="000A6B18"/>
    <w:rsid w:val="000A7238"/>
    <w:rsid w:val="000A7772"/>
    <w:rsid w:val="000A7E12"/>
    <w:rsid w:val="000B15BE"/>
    <w:rsid w:val="000B1BEC"/>
    <w:rsid w:val="000B296C"/>
    <w:rsid w:val="000B29F6"/>
    <w:rsid w:val="000B45E7"/>
    <w:rsid w:val="000B59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1528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294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0FC"/>
    <w:rsid w:val="002065CB"/>
    <w:rsid w:val="00206D7F"/>
    <w:rsid w:val="00207F92"/>
    <w:rsid w:val="00212541"/>
    <w:rsid w:val="00212695"/>
    <w:rsid w:val="002128EC"/>
    <w:rsid w:val="002129BA"/>
    <w:rsid w:val="00212AB8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3C17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1F7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5FC5"/>
    <w:rsid w:val="0029616D"/>
    <w:rsid w:val="00296F62"/>
    <w:rsid w:val="00297A93"/>
    <w:rsid w:val="002A1AF1"/>
    <w:rsid w:val="002A32A0"/>
    <w:rsid w:val="002A39C4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644F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9E9"/>
    <w:rsid w:val="00303A43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39A6"/>
    <w:rsid w:val="00334855"/>
    <w:rsid w:val="003358B9"/>
    <w:rsid w:val="00335C7D"/>
    <w:rsid w:val="00335EF1"/>
    <w:rsid w:val="00336086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1671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3A21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2DE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89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6AE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378C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24C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AE6"/>
    <w:rsid w:val="00524FB5"/>
    <w:rsid w:val="00525053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666"/>
    <w:rsid w:val="00555A40"/>
    <w:rsid w:val="00555C05"/>
    <w:rsid w:val="005564CE"/>
    <w:rsid w:val="00556B7F"/>
    <w:rsid w:val="00560482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450F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883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072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1DBB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0328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BD3"/>
    <w:rsid w:val="006E7CDA"/>
    <w:rsid w:val="006E7EA4"/>
    <w:rsid w:val="006F0CB5"/>
    <w:rsid w:val="006F0D41"/>
    <w:rsid w:val="006F194F"/>
    <w:rsid w:val="006F543E"/>
    <w:rsid w:val="006F6528"/>
    <w:rsid w:val="006F6999"/>
    <w:rsid w:val="006F7E3B"/>
    <w:rsid w:val="007014C5"/>
    <w:rsid w:val="00702A96"/>
    <w:rsid w:val="007039D6"/>
    <w:rsid w:val="00703C1C"/>
    <w:rsid w:val="00703F37"/>
    <w:rsid w:val="0070485F"/>
    <w:rsid w:val="007071CF"/>
    <w:rsid w:val="0071017A"/>
    <w:rsid w:val="007109C2"/>
    <w:rsid w:val="00712066"/>
    <w:rsid w:val="00713344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2F13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8B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665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690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53A"/>
    <w:rsid w:val="008B0C3F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CC4"/>
    <w:rsid w:val="008C6462"/>
    <w:rsid w:val="008D028B"/>
    <w:rsid w:val="008D121C"/>
    <w:rsid w:val="008D2236"/>
    <w:rsid w:val="008D33BA"/>
    <w:rsid w:val="008D3E12"/>
    <w:rsid w:val="008D506D"/>
    <w:rsid w:val="008D54F4"/>
    <w:rsid w:val="008D6915"/>
    <w:rsid w:val="008D749D"/>
    <w:rsid w:val="008E05C3"/>
    <w:rsid w:val="008E285A"/>
    <w:rsid w:val="008E5817"/>
    <w:rsid w:val="008E5AB2"/>
    <w:rsid w:val="008E67B8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266E8"/>
    <w:rsid w:val="0093009B"/>
    <w:rsid w:val="00930843"/>
    <w:rsid w:val="00930B55"/>
    <w:rsid w:val="00931920"/>
    <w:rsid w:val="0093244B"/>
    <w:rsid w:val="00932589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016F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44AB"/>
    <w:rsid w:val="009854C5"/>
    <w:rsid w:val="00986CD4"/>
    <w:rsid w:val="0098737A"/>
    <w:rsid w:val="0099160C"/>
    <w:rsid w:val="00992D1B"/>
    <w:rsid w:val="00993578"/>
    <w:rsid w:val="00996376"/>
    <w:rsid w:val="0099655D"/>
    <w:rsid w:val="00996625"/>
    <w:rsid w:val="0099769F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6B01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9CD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42DB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1315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130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A73FE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5D25"/>
    <w:rsid w:val="00B26307"/>
    <w:rsid w:val="00B2666D"/>
    <w:rsid w:val="00B27822"/>
    <w:rsid w:val="00B27CB3"/>
    <w:rsid w:val="00B30D31"/>
    <w:rsid w:val="00B319AE"/>
    <w:rsid w:val="00B319F7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071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11C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2A6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08B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1F5"/>
    <w:rsid w:val="00C3460C"/>
    <w:rsid w:val="00C34754"/>
    <w:rsid w:val="00C3551E"/>
    <w:rsid w:val="00C3659E"/>
    <w:rsid w:val="00C37E12"/>
    <w:rsid w:val="00C417AE"/>
    <w:rsid w:val="00C418C8"/>
    <w:rsid w:val="00C4206E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3711"/>
    <w:rsid w:val="00C846E5"/>
    <w:rsid w:val="00C84BE3"/>
    <w:rsid w:val="00C85AAA"/>
    <w:rsid w:val="00C85EAF"/>
    <w:rsid w:val="00C86455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4EF0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44A"/>
    <w:rsid w:val="00CE0EA2"/>
    <w:rsid w:val="00CE12AD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138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588B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5F6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539"/>
    <w:rsid w:val="00D6499A"/>
    <w:rsid w:val="00D65B80"/>
    <w:rsid w:val="00D66A3E"/>
    <w:rsid w:val="00D66D95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BA7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849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E70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248A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86EC4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137E"/>
    <w:rsid w:val="00EC2376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EF7D1A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2E5C"/>
    <w:rsid w:val="00F24380"/>
    <w:rsid w:val="00F25928"/>
    <w:rsid w:val="00F25AE3"/>
    <w:rsid w:val="00F25E84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1575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01ED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4A4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2639"/>
  <w15:docId w15:val="{B3D42285-AD90-4F8B-BDF4-B3091EB1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25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325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325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D158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54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25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325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325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3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258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yline">
    <w:name w:val="byline"/>
    <w:basedOn w:val="DefaultParagraphFont"/>
    <w:rsid w:val="00986CD4"/>
  </w:style>
  <w:style w:type="character" w:customStyle="1" w:styleId="vcard">
    <w:name w:val="vcard"/>
    <w:basedOn w:val="DefaultParagraphFont"/>
    <w:rsid w:val="00986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5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ingapprenticeship.org/wp-content/uploads/2021/09/Think-Pair-Share-RFU-p1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utopia.org/blog/22-powerful-closure-activities-todd-finley?utm_source=twitter&amp;utm_medium=socialflo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pp.skyepack.com/Pack/Document?elementID=691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topia.org/blog/22-powerful-closure-activities-todd-finley?utm_source=twitter&amp;utm_medium=socialfl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346D-9ED8-4CC8-9D66-E77084E5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3</cp:revision>
  <cp:lastPrinted>2016-09-13T12:12:00Z</cp:lastPrinted>
  <dcterms:created xsi:type="dcterms:W3CDTF">2026-01-29T21:39:00Z</dcterms:created>
  <dcterms:modified xsi:type="dcterms:W3CDTF">2026-01-30T15:11:00Z</dcterms:modified>
</cp:coreProperties>
</file>